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DD" w:rsidRDefault="008318DD" w:rsidP="008318DD">
      <w:pPr>
        <w:spacing w:line="0" w:lineRule="atLeast"/>
        <w:jc w:val="right"/>
        <w:rPr>
          <w:rFonts w:ascii="Arial" w:eastAsia="Arial" w:hAnsi="Arial"/>
          <w:b/>
          <w:color w:val="00593A"/>
          <w:sz w:val="19"/>
        </w:rPr>
      </w:pPr>
      <w:bookmarkStart w:id="0" w:name="page1"/>
      <w:bookmarkEnd w:id="0"/>
      <w:r>
        <w:rPr>
          <w:noProof/>
        </w:rPr>
        <w:drawing>
          <wp:anchor distT="0" distB="0" distL="114300" distR="114300" simplePos="0" relativeHeight="251659264" behindDoc="1" locked="0" layoutInCell="1" allowOverlap="1" wp14:anchorId="15036812" wp14:editId="3EBC36A2">
            <wp:simplePos x="0" y="0"/>
            <wp:positionH relativeFrom="page">
              <wp:posOffset>701040</wp:posOffset>
            </wp:positionH>
            <wp:positionV relativeFrom="page">
              <wp:posOffset>360045</wp:posOffset>
            </wp:positionV>
            <wp:extent cx="1259840" cy="125857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984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color w:val="00593A"/>
          <w:sz w:val="19"/>
        </w:rPr>
        <w:t>AUTOMOBILE ASSOCIATION OF KENYA</w:t>
      </w:r>
    </w:p>
    <w:p w:rsidR="008318DD" w:rsidRDefault="008318DD" w:rsidP="008318DD">
      <w:pPr>
        <w:spacing w:line="70" w:lineRule="exact"/>
        <w:rPr>
          <w:rFonts w:ascii="Times New Roman" w:eastAsia="Times New Roman" w:hAnsi="Times New Roman"/>
          <w:sz w:val="24"/>
        </w:rPr>
      </w:pPr>
    </w:p>
    <w:p w:rsidR="008318DD" w:rsidRDefault="008318DD" w:rsidP="008318DD">
      <w:pPr>
        <w:spacing w:line="0" w:lineRule="atLeast"/>
        <w:ind w:left="5760"/>
        <w:rPr>
          <w:rFonts w:ascii="Arial" w:eastAsia="Arial" w:hAnsi="Arial"/>
          <w:color w:val="00593A"/>
          <w:sz w:val="16"/>
        </w:rPr>
      </w:pPr>
      <w:r>
        <w:rPr>
          <w:rFonts w:ascii="Arial" w:eastAsia="Arial" w:hAnsi="Arial"/>
          <w:color w:val="00593A"/>
          <w:sz w:val="16"/>
        </w:rPr>
        <w:t>Renaissance Corporate Park, 8th Floor, Upper Hill</w:t>
      </w:r>
    </w:p>
    <w:p w:rsidR="008318DD" w:rsidRDefault="008318DD" w:rsidP="008318DD">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0288" behindDoc="1" locked="0" layoutInCell="1" allowOverlap="1" wp14:anchorId="5588B240" wp14:editId="782B3370">
            <wp:simplePos x="0" y="0"/>
            <wp:positionH relativeFrom="column">
              <wp:posOffset>3451860</wp:posOffset>
            </wp:positionH>
            <wp:positionV relativeFrom="paragraph">
              <wp:posOffset>-97790</wp:posOffset>
            </wp:positionV>
            <wp:extent cx="101600" cy="14033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40335"/>
                    </a:xfrm>
                    <a:prstGeom prst="rect">
                      <a:avLst/>
                    </a:prstGeom>
                    <a:noFill/>
                  </pic:spPr>
                </pic:pic>
              </a:graphicData>
            </a:graphic>
            <wp14:sizeRelH relativeFrom="page">
              <wp14:pctWidth>0</wp14:pctWidth>
            </wp14:sizeRelH>
            <wp14:sizeRelV relativeFrom="page">
              <wp14:pctHeight>0</wp14:pctHeight>
            </wp14:sizeRelV>
          </wp:anchor>
        </w:drawing>
      </w:r>
    </w:p>
    <w:p w:rsidR="008318DD" w:rsidRDefault="008318DD" w:rsidP="008318DD">
      <w:pPr>
        <w:spacing w:line="48" w:lineRule="exact"/>
        <w:rPr>
          <w:rFonts w:ascii="Times New Roman" w:eastAsia="Times New Roman" w:hAnsi="Times New Roman"/>
          <w:sz w:val="24"/>
        </w:rPr>
      </w:pPr>
    </w:p>
    <w:p w:rsidR="008318DD" w:rsidRDefault="008318DD" w:rsidP="008318DD">
      <w:pPr>
        <w:spacing w:line="0" w:lineRule="atLeast"/>
        <w:ind w:left="5760"/>
        <w:rPr>
          <w:rFonts w:ascii="Arial" w:eastAsia="Arial" w:hAnsi="Arial"/>
          <w:color w:val="00593A"/>
          <w:sz w:val="16"/>
        </w:rPr>
      </w:pPr>
      <w:r>
        <w:rPr>
          <w:rFonts w:ascii="Arial" w:eastAsia="Arial" w:hAnsi="Arial"/>
          <w:color w:val="00593A"/>
          <w:sz w:val="16"/>
        </w:rPr>
        <w:t>+254 (0) 709 933 000, +254 (0) 709 933 123</w:t>
      </w:r>
    </w:p>
    <w:p w:rsidR="008318DD" w:rsidRDefault="008318DD" w:rsidP="008318DD">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1312" behindDoc="1" locked="0" layoutInCell="1" allowOverlap="1" wp14:anchorId="2C6148FF" wp14:editId="2B3A3B79">
            <wp:simplePos x="0" y="0"/>
            <wp:positionH relativeFrom="column">
              <wp:posOffset>3451225</wp:posOffset>
            </wp:positionH>
            <wp:positionV relativeFrom="paragraph">
              <wp:posOffset>-100965</wp:posOffset>
            </wp:positionV>
            <wp:extent cx="105410" cy="1524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 cy="152400"/>
                    </a:xfrm>
                    <a:prstGeom prst="rect">
                      <a:avLst/>
                    </a:prstGeom>
                    <a:noFill/>
                  </pic:spPr>
                </pic:pic>
              </a:graphicData>
            </a:graphic>
            <wp14:sizeRelH relativeFrom="page">
              <wp14:pctWidth>0</wp14:pctWidth>
            </wp14:sizeRelH>
            <wp14:sizeRelV relativeFrom="page">
              <wp14:pctHeight>0</wp14:pctHeight>
            </wp14:sizeRelV>
          </wp:anchor>
        </w:drawing>
      </w:r>
    </w:p>
    <w:p w:rsidR="008318DD" w:rsidRDefault="008318DD" w:rsidP="008318DD">
      <w:pPr>
        <w:spacing w:line="48" w:lineRule="exact"/>
        <w:rPr>
          <w:rFonts w:ascii="Times New Roman" w:eastAsia="Times New Roman" w:hAnsi="Times New Roman"/>
          <w:sz w:val="24"/>
        </w:rPr>
      </w:pPr>
    </w:p>
    <w:p w:rsidR="008318DD" w:rsidRDefault="008318DD" w:rsidP="008318DD">
      <w:pPr>
        <w:spacing w:line="0" w:lineRule="atLeast"/>
        <w:ind w:left="5760"/>
        <w:rPr>
          <w:rFonts w:ascii="Arial" w:eastAsia="Arial" w:hAnsi="Arial"/>
          <w:color w:val="00593A"/>
          <w:sz w:val="16"/>
        </w:rPr>
      </w:pPr>
      <w:r>
        <w:rPr>
          <w:rFonts w:ascii="Arial" w:eastAsia="Arial" w:hAnsi="Arial"/>
          <w:color w:val="00593A"/>
          <w:sz w:val="16"/>
        </w:rPr>
        <w:t>P.O Box 40087 - 00100 Nairobi, Kenya</w:t>
      </w:r>
    </w:p>
    <w:p w:rsidR="008318DD" w:rsidRDefault="008318DD" w:rsidP="008318DD">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2336" behindDoc="1" locked="0" layoutInCell="1" allowOverlap="1" wp14:anchorId="74086CD1" wp14:editId="0243824B">
            <wp:simplePos x="0" y="0"/>
            <wp:positionH relativeFrom="column">
              <wp:posOffset>3437255</wp:posOffset>
            </wp:positionH>
            <wp:positionV relativeFrom="paragraph">
              <wp:posOffset>-90170</wp:posOffset>
            </wp:positionV>
            <wp:extent cx="130810" cy="10858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08585"/>
                    </a:xfrm>
                    <a:prstGeom prst="rect">
                      <a:avLst/>
                    </a:prstGeom>
                    <a:noFill/>
                  </pic:spPr>
                </pic:pic>
              </a:graphicData>
            </a:graphic>
            <wp14:sizeRelH relativeFrom="page">
              <wp14:pctWidth>0</wp14:pctWidth>
            </wp14:sizeRelH>
            <wp14:sizeRelV relativeFrom="page">
              <wp14:pctHeight>0</wp14:pctHeight>
            </wp14:sizeRelV>
          </wp:anchor>
        </w:drawing>
      </w:r>
    </w:p>
    <w:p w:rsidR="008318DD" w:rsidRDefault="008318DD" w:rsidP="008318DD">
      <w:pPr>
        <w:spacing w:line="48" w:lineRule="exact"/>
        <w:rPr>
          <w:rFonts w:ascii="Times New Roman" w:eastAsia="Times New Roman" w:hAnsi="Times New Roman"/>
          <w:sz w:val="24"/>
        </w:rPr>
      </w:pPr>
    </w:p>
    <w:p w:rsidR="008318DD" w:rsidRDefault="008318DD" w:rsidP="008318DD">
      <w:pPr>
        <w:spacing w:line="0" w:lineRule="atLeast"/>
        <w:ind w:left="5760"/>
        <w:rPr>
          <w:rFonts w:ascii="Arial" w:eastAsia="Arial" w:hAnsi="Arial"/>
          <w:color w:val="00593A"/>
          <w:sz w:val="16"/>
        </w:rPr>
      </w:pPr>
      <w:r>
        <w:rPr>
          <w:rFonts w:ascii="Arial" w:eastAsia="Arial" w:hAnsi="Arial"/>
          <w:color w:val="00593A"/>
          <w:sz w:val="16"/>
        </w:rPr>
        <w:t>aak@aakenya.co.ke</w:t>
      </w:r>
    </w:p>
    <w:p w:rsidR="008318DD" w:rsidRDefault="008318DD" w:rsidP="008318DD">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3360" behindDoc="1" locked="0" layoutInCell="1" allowOverlap="1" wp14:anchorId="72EA2E2A" wp14:editId="1CFA06EF">
            <wp:simplePos x="0" y="0"/>
            <wp:positionH relativeFrom="column">
              <wp:posOffset>3436620</wp:posOffset>
            </wp:positionH>
            <wp:positionV relativeFrom="paragraph">
              <wp:posOffset>-94615</wp:posOffset>
            </wp:positionV>
            <wp:extent cx="131445" cy="1346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34620"/>
                    </a:xfrm>
                    <a:prstGeom prst="rect">
                      <a:avLst/>
                    </a:prstGeom>
                    <a:noFill/>
                  </pic:spPr>
                </pic:pic>
              </a:graphicData>
            </a:graphic>
            <wp14:sizeRelH relativeFrom="page">
              <wp14:pctWidth>0</wp14:pctWidth>
            </wp14:sizeRelH>
            <wp14:sizeRelV relativeFrom="page">
              <wp14:pctHeight>0</wp14:pctHeight>
            </wp14:sizeRelV>
          </wp:anchor>
        </w:drawing>
      </w:r>
    </w:p>
    <w:p w:rsidR="008318DD" w:rsidRDefault="008318DD" w:rsidP="008318DD">
      <w:pPr>
        <w:spacing w:line="39" w:lineRule="exact"/>
        <w:rPr>
          <w:rFonts w:ascii="Times New Roman" w:eastAsia="Times New Roman" w:hAnsi="Times New Roman"/>
          <w:sz w:val="24"/>
        </w:rPr>
      </w:pPr>
    </w:p>
    <w:p w:rsidR="008318DD" w:rsidRDefault="008318DD" w:rsidP="008318DD">
      <w:pPr>
        <w:spacing w:line="0" w:lineRule="atLeast"/>
        <w:ind w:left="5760"/>
        <w:rPr>
          <w:rFonts w:ascii="Arial" w:eastAsia="Arial" w:hAnsi="Arial"/>
          <w:b/>
          <w:i/>
          <w:color w:val="00593A"/>
          <w:sz w:val="16"/>
        </w:rPr>
      </w:pPr>
      <w:r>
        <w:rPr>
          <w:rFonts w:ascii="Arial" w:eastAsia="Arial" w:hAnsi="Arial"/>
          <w:b/>
          <w:i/>
          <w:color w:val="00593A"/>
          <w:sz w:val="16"/>
        </w:rPr>
        <w:t>www.aakenya.co.ke</w:t>
      </w:r>
    </w:p>
    <w:p w:rsidR="008318DD" w:rsidRDefault="008318DD" w:rsidP="008318DD">
      <w:pPr>
        <w:spacing w:line="20" w:lineRule="exact"/>
        <w:rPr>
          <w:rFonts w:ascii="Times New Roman" w:eastAsia="Times New Roman" w:hAnsi="Times New Roman"/>
          <w:sz w:val="24"/>
        </w:rPr>
      </w:pPr>
      <w:r>
        <w:rPr>
          <w:rFonts w:ascii="Arial" w:eastAsia="Arial" w:hAnsi="Arial"/>
          <w:b/>
          <w:i/>
          <w:noProof/>
          <w:color w:val="00593A"/>
          <w:sz w:val="16"/>
        </w:rPr>
        <w:drawing>
          <wp:anchor distT="0" distB="0" distL="114300" distR="114300" simplePos="0" relativeHeight="251664384" behindDoc="1" locked="0" layoutInCell="1" allowOverlap="1" wp14:anchorId="3EE8CB2D" wp14:editId="03C75AB6">
            <wp:simplePos x="0" y="0"/>
            <wp:positionH relativeFrom="column">
              <wp:posOffset>3437890</wp:posOffset>
            </wp:positionH>
            <wp:positionV relativeFrom="paragraph">
              <wp:posOffset>-93345</wp:posOffset>
            </wp:positionV>
            <wp:extent cx="128905" cy="1289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pic:spPr>
                </pic:pic>
              </a:graphicData>
            </a:graphic>
            <wp14:sizeRelH relativeFrom="page">
              <wp14:pctWidth>0</wp14:pctWidth>
            </wp14:sizeRelH>
            <wp14:sizeRelV relativeFrom="page">
              <wp14:pctHeight>0</wp14:pctHeight>
            </wp14:sizeRelV>
          </wp:anchor>
        </w:drawing>
      </w:r>
    </w:p>
    <w:p w:rsidR="008318DD" w:rsidRDefault="008318DD" w:rsidP="008318DD">
      <w:pPr>
        <w:spacing w:line="200" w:lineRule="exact"/>
        <w:rPr>
          <w:rFonts w:ascii="Times New Roman" w:eastAsia="Times New Roman" w:hAnsi="Times New Roman"/>
          <w:sz w:val="24"/>
        </w:rPr>
      </w:pPr>
    </w:p>
    <w:p w:rsidR="008318DD" w:rsidRDefault="008318DD" w:rsidP="008318DD">
      <w:pPr>
        <w:spacing w:line="200" w:lineRule="exact"/>
        <w:rPr>
          <w:rFonts w:ascii="Times New Roman" w:eastAsia="Times New Roman" w:hAnsi="Times New Roman"/>
          <w:sz w:val="24"/>
        </w:rPr>
      </w:pPr>
    </w:p>
    <w:p w:rsidR="008318DD" w:rsidRDefault="008318DD" w:rsidP="008318DD">
      <w:pPr>
        <w:spacing w:line="200" w:lineRule="exact"/>
        <w:rPr>
          <w:rFonts w:ascii="Times New Roman" w:eastAsia="Times New Roman" w:hAnsi="Times New Roman"/>
          <w:sz w:val="24"/>
        </w:rPr>
      </w:pPr>
    </w:p>
    <w:p w:rsidR="008318DD" w:rsidRDefault="008318DD" w:rsidP="008318DD">
      <w:pPr>
        <w:rPr>
          <w:rFonts w:ascii="Centaur" w:eastAsia="Times New Roman" w:hAnsi="Centaur" w:cs="Times New Roman"/>
          <w:b/>
          <w:i/>
          <w:sz w:val="24"/>
          <w:szCs w:val="24"/>
        </w:rPr>
      </w:pPr>
      <w:r>
        <w:rPr>
          <w:rFonts w:ascii="Centaur" w:eastAsia="Times New Roman" w:hAnsi="Centaur" w:cs="Times New Roman"/>
          <w:i/>
          <w:sz w:val="24"/>
          <w:szCs w:val="24"/>
        </w:rPr>
        <w:t xml:space="preserve">                                                            </w:t>
      </w:r>
    </w:p>
    <w:p w:rsidR="008318DD" w:rsidRDefault="008318DD" w:rsidP="008318DD">
      <w:pPr>
        <w:spacing w:line="83" w:lineRule="exact"/>
        <w:rPr>
          <w:rFonts w:ascii="Times New Roman" w:eastAsia="Times New Roman" w:hAnsi="Times New Roman"/>
          <w:sz w:val="24"/>
        </w:rPr>
      </w:pPr>
    </w:p>
    <w:p w:rsidR="008318DD" w:rsidRPr="002259EB" w:rsidRDefault="00732DFA" w:rsidP="008318DD">
      <w:pPr>
        <w:shd w:val="clear" w:color="auto" w:fill="538135"/>
        <w:spacing w:after="160" w:line="259" w:lineRule="auto"/>
        <w:jc w:val="center"/>
        <w:rPr>
          <w:rFonts w:ascii="Candara" w:hAnsi="Candara" w:cs="Times New Roman"/>
          <w:b/>
          <w:bCs/>
          <w:color w:val="F2F2F2"/>
          <w:sz w:val="40"/>
          <w:szCs w:val="40"/>
          <w:u w:val="single"/>
        </w:rPr>
      </w:pPr>
      <w:r>
        <w:rPr>
          <w:rFonts w:ascii="Candara" w:hAnsi="Candara" w:cs="Times New Roman"/>
          <w:b/>
          <w:bCs/>
          <w:color w:val="F2F2F2"/>
          <w:sz w:val="40"/>
          <w:szCs w:val="40"/>
          <w:u w:val="single"/>
        </w:rPr>
        <w:t xml:space="preserve">ONLINE </w:t>
      </w:r>
      <w:r w:rsidR="008318DD">
        <w:rPr>
          <w:rFonts w:ascii="Candara" w:hAnsi="Candara" w:cs="Times New Roman"/>
          <w:b/>
          <w:bCs/>
          <w:color w:val="F2F2F2"/>
          <w:sz w:val="40"/>
          <w:szCs w:val="40"/>
          <w:u w:val="single"/>
        </w:rPr>
        <w:t>TERMS AND CONDITIONS FOR CREDIT /DEBIT CARD PAYMENTS</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Acceptance of Terms</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By clicking "I Agree" or by completing a transaction on the AA Kenya PLC web portal, you acknowledge that you have read, understood, and agreed to be bound by these Terms and Conditions. If you do not agree, please do not proceed with the online payment.  </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Electronic Communications</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You agree that all agreements, notices, and other communications provided to you electronically satisfy any legal requirement that such communications be in writing.  </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Confirmation of your transaction will be sent to the email address provided during the checkout process.  </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Payment Security &amp; Data Privacy</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Encryption: Our online gateway uses Industry-standard SSL (Secure Sockets Layer) encryption to protect your card data during transmission.  </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Data Protection: All personal information collected is processed in compliance with the Data Protection Act (2019). We do not store your sensitive "Card Security Code" (CVV/CVC) on our servers.  </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International Transactions (IDP &amp; FIA)</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Exchange Rates: For customers using international cards, the final amount debited may vary slightly from the checkout total due to currency conversion rates applied by your issuing bank.</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 xml:space="preserve">Geographic Scope: These services are specifically tailored for Kenyan residents or those authorized under FIA regulations to obtain documents through AA Kenya PLC.  </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Dig</w:t>
      </w:r>
      <w:bookmarkStart w:id="1" w:name="_GoBack"/>
      <w:bookmarkEnd w:id="1"/>
      <w:r w:rsidRPr="00732DFA">
        <w:rPr>
          <w:rFonts w:ascii="Century Gothic" w:hAnsi="Century Gothic" w:cs="Times New Roman"/>
          <w:b/>
          <w:bCs/>
          <w:sz w:val="24"/>
          <w:szCs w:val="24"/>
          <w:u w:val="single"/>
        </w:rPr>
        <w:t>ital Refund Policy</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lastRenderedPageBreak/>
        <w:t>​</w:t>
      </w:r>
      <w:r w:rsidRPr="00732DFA">
        <w:rPr>
          <w:rFonts w:ascii="Century Gothic" w:hAnsi="Century Gothic" w:cs="Times New Roman"/>
          <w:bCs/>
          <w:sz w:val="24"/>
          <w:szCs w:val="24"/>
        </w:rPr>
        <w:t xml:space="preserve">Request Process: Refund requests must be submitted in writing to </w:t>
      </w:r>
      <w:hyperlink r:id="rId11" w:history="1">
        <w:r w:rsidRPr="00FA1485">
          <w:rPr>
            <w:rStyle w:val="Hyperlink"/>
            <w:rFonts w:ascii="Century Gothic" w:hAnsi="Century Gothic" w:cs="Times New Roman"/>
            <w:bCs/>
            <w:sz w:val="24"/>
            <w:szCs w:val="24"/>
          </w:rPr>
          <w:t>aak@aakenya.co.ke</w:t>
        </w:r>
      </w:hyperlink>
      <w:r>
        <w:rPr>
          <w:rFonts w:ascii="Century Gothic" w:hAnsi="Century Gothic" w:cs="Times New Roman"/>
          <w:bCs/>
          <w:sz w:val="24"/>
          <w:szCs w:val="24"/>
        </w:rPr>
        <w:t xml:space="preserve"> </w:t>
      </w:r>
      <w:r w:rsidRPr="00732DFA">
        <w:rPr>
          <w:rFonts w:ascii="Century Gothic" w:hAnsi="Century Gothic" w:cs="Times New Roman"/>
          <w:bCs/>
          <w:sz w:val="24"/>
          <w:szCs w:val="24"/>
        </w:rPr>
        <w:t xml:space="preserve">within 48 hours of the transaction.  </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Processing Fee: AA Kenya PLC reserves the right to deduct a 3% administrative/bank processing fee from any approved refund to cover gateway costs.</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Non-Eligibility: Refunds will not be issued once a digital IDP application has been "Approved" or "Dispatched" in our system.</w:t>
      </w:r>
    </w:p>
    <w:p w:rsidR="00732DFA" w:rsidRPr="00732DFA" w:rsidRDefault="00732DFA" w:rsidP="00732DFA">
      <w:pPr>
        <w:pStyle w:val="ListParagraph"/>
        <w:numPr>
          <w:ilvl w:val="0"/>
          <w:numId w:val="17"/>
        </w:numPr>
        <w:spacing w:before="100" w:beforeAutospacing="1" w:after="100" w:afterAutospacing="1"/>
        <w:rPr>
          <w:rFonts w:ascii="Century Gothic" w:hAnsi="Century Gothic" w:cs="Times New Roman"/>
          <w:b/>
          <w:bCs/>
          <w:sz w:val="24"/>
          <w:szCs w:val="24"/>
          <w:u w:val="single"/>
        </w:rPr>
      </w:pPr>
      <w:r w:rsidRPr="00732DFA">
        <w:rPr>
          <w:rFonts w:ascii="Arial" w:hAnsi="Arial" w:cs="Arial"/>
          <w:b/>
          <w:bCs/>
          <w:sz w:val="24"/>
          <w:szCs w:val="24"/>
          <w:u w:val="single"/>
        </w:rPr>
        <w:t>​</w:t>
      </w:r>
      <w:r w:rsidRPr="00732DFA">
        <w:rPr>
          <w:rFonts w:ascii="Century Gothic" w:hAnsi="Century Gothic" w:cs="Times New Roman"/>
          <w:b/>
          <w:bCs/>
          <w:sz w:val="24"/>
          <w:szCs w:val="24"/>
          <w:u w:val="single"/>
        </w:rPr>
        <w:t>Limitation of Liability</w:t>
      </w:r>
    </w:p>
    <w:p w:rsidR="00732DFA" w:rsidRPr="00732DFA" w:rsidRDefault="00732DFA" w:rsidP="00732DFA">
      <w:pPr>
        <w:spacing w:before="100" w:beforeAutospacing="1" w:after="100" w:afterAutospacing="1"/>
        <w:jc w:val="both"/>
        <w:rPr>
          <w:rFonts w:ascii="Century Gothic" w:hAnsi="Century Gothic" w:cs="Times New Roman"/>
          <w:bCs/>
          <w:sz w:val="24"/>
          <w:szCs w:val="24"/>
        </w:rPr>
      </w:pPr>
      <w:r w:rsidRPr="00732DFA">
        <w:rPr>
          <w:rFonts w:ascii="Arial" w:hAnsi="Arial"/>
          <w:bCs/>
          <w:sz w:val="24"/>
          <w:szCs w:val="24"/>
        </w:rPr>
        <w:t>​</w:t>
      </w:r>
      <w:r w:rsidRPr="00732DFA">
        <w:rPr>
          <w:rFonts w:ascii="Century Gothic" w:hAnsi="Century Gothic" w:cs="Times New Roman"/>
          <w:bCs/>
          <w:sz w:val="24"/>
          <w:szCs w:val="24"/>
        </w:rPr>
        <w:t>AA Kenya PLC shall not be liable for any damages resulting from:</w:t>
      </w:r>
    </w:p>
    <w:p w:rsidR="00732DFA" w:rsidRPr="00732DFA" w:rsidRDefault="00732DFA" w:rsidP="00732DFA">
      <w:pPr>
        <w:pStyle w:val="ListParagraph"/>
        <w:numPr>
          <w:ilvl w:val="0"/>
          <w:numId w:val="18"/>
        </w:numPr>
        <w:spacing w:before="100" w:beforeAutospacing="1" w:after="100" w:afterAutospacing="1"/>
        <w:jc w:val="both"/>
        <w:rPr>
          <w:rFonts w:ascii="Century Gothic" w:hAnsi="Century Gothic" w:cs="Times New Roman"/>
          <w:bCs/>
          <w:sz w:val="24"/>
          <w:szCs w:val="24"/>
        </w:rPr>
      </w:pPr>
      <w:r w:rsidRPr="00732DFA">
        <w:rPr>
          <w:rFonts w:ascii="Arial" w:hAnsi="Arial" w:cs="Arial"/>
          <w:bCs/>
          <w:sz w:val="24"/>
          <w:szCs w:val="24"/>
        </w:rPr>
        <w:t>​</w:t>
      </w:r>
      <w:r w:rsidRPr="00732DFA">
        <w:rPr>
          <w:rFonts w:ascii="Century Gothic" w:hAnsi="Century Gothic" w:cs="Times New Roman"/>
          <w:bCs/>
          <w:sz w:val="24"/>
          <w:szCs w:val="24"/>
        </w:rPr>
        <w:t>Technical failures of the internet or your service provider.</w:t>
      </w:r>
    </w:p>
    <w:p w:rsidR="00732DFA" w:rsidRPr="00732DFA" w:rsidRDefault="00732DFA" w:rsidP="00732DFA">
      <w:pPr>
        <w:pStyle w:val="ListParagraph"/>
        <w:numPr>
          <w:ilvl w:val="0"/>
          <w:numId w:val="18"/>
        </w:numPr>
        <w:spacing w:before="100" w:beforeAutospacing="1" w:after="100" w:afterAutospacing="1"/>
        <w:jc w:val="both"/>
        <w:rPr>
          <w:rFonts w:ascii="Century Gothic" w:hAnsi="Century Gothic" w:cs="Times New Roman"/>
          <w:bCs/>
          <w:sz w:val="24"/>
          <w:szCs w:val="24"/>
        </w:rPr>
      </w:pPr>
      <w:r w:rsidRPr="00732DFA">
        <w:rPr>
          <w:rFonts w:ascii="Arial" w:hAnsi="Arial" w:cs="Arial"/>
          <w:bCs/>
          <w:sz w:val="24"/>
          <w:szCs w:val="24"/>
        </w:rPr>
        <w:t>​</w:t>
      </w:r>
      <w:r w:rsidRPr="00732DFA">
        <w:rPr>
          <w:rFonts w:ascii="Century Gothic" w:hAnsi="Century Gothic" w:cs="Times New Roman"/>
          <w:bCs/>
          <w:sz w:val="24"/>
          <w:szCs w:val="24"/>
        </w:rPr>
        <w:t>Unauthorized access to your personal device used to complete the transaction.</w:t>
      </w:r>
    </w:p>
    <w:p w:rsidR="008318DD" w:rsidRPr="00732DFA" w:rsidRDefault="00732DFA" w:rsidP="00732DFA">
      <w:pPr>
        <w:pStyle w:val="ListParagraph"/>
        <w:numPr>
          <w:ilvl w:val="0"/>
          <w:numId w:val="18"/>
        </w:numPr>
        <w:spacing w:before="100" w:beforeAutospacing="1" w:after="100" w:afterAutospacing="1"/>
        <w:jc w:val="both"/>
        <w:rPr>
          <w:rFonts w:ascii="Century Gothic" w:eastAsia="Times New Roman" w:hAnsi="Century Gothic"/>
          <w:sz w:val="24"/>
          <w:szCs w:val="24"/>
        </w:rPr>
      </w:pPr>
      <w:r w:rsidRPr="00732DFA">
        <w:rPr>
          <w:rFonts w:ascii="Arial" w:hAnsi="Arial" w:cs="Arial"/>
          <w:bCs/>
          <w:sz w:val="24"/>
          <w:szCs w:val="24"/>
        </w:rPr>
        <w:t>​</w:t>
      </w:r>
      <w:r w:rsidRPr="00732DFA">
        <w:rPr>
          <w:rFonts w:ascii="Century Gothic" w:hAnsi="Century Gothic" w:cs="Times New Roman"/>
          <w:bCs/>
          <w:sz w:val="24"/>
          <w:szCs w:val="24"/>
        </w:rPr>
        <w:t>Delays in document delivery caused by incorrect address entry at checkout</w:t>
      </w:r>
    </w:p>
    <w:p w:rsidR="00E160E6" w:rsidRPr="00732DFA" w:rsidRDefault="00E160E6" w:rsidP="00732DFA">
      <w:pPr>
        <w:rPr>
          <w:sz w:val="24"/>
          <w:szCs w:val="24"/>
        </w:rPr>
      </w:pPr>
    </w:p>
    <w:sectPr w:rsidR="00E160E6" w:rsidRPr="00732DFA" w:rsidSect="008318DD">
      <w:headerReference w:type="even" r:id="rId12"/>
      <w:footerReference w:type="default" r:id="rId13"/>
      <w:headerReference w:type="first" r:id="rId14"/>
      <w:pgSz w:w="11900" w:h="16838"/>
      <w:pgMar w:top="590" w:right="1106" w:bottom="1440" w:left="1440" w:header="0" w:footer="144"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73" w:rsidRPr="006E6973" w:rsidRDefault="00732DFA" w:rsidP="002259EB">
    <w:pPr>
      <w:spacing w:line="0" w:lineRule="atLeast"/>
      <w:rPr>
        <w:rFonts w:ascii="Arial" w:eastAsia="Arial" w:hAnsi="Arial"/>
        <w:color w:val="00593A"/>
        <w:sz w:val="14"/>
      </w:rPr>
    </w:pPr>
    <w:r w:rsidRPr="002259EB">
      <w:rPr>
        <w:rFonts w:ascii="Arial" w:eastAsia="Arial" w:hAnsi="Arial"/>
        <w:noProof/>
        <w:color w:val="00593A"/>
        <w:sz w:val="14"/>
        <w:u w:val="single"/>
      </w:rPr>
      <w:drawing>
        <wp:inline distT="0" distB="0" distL="0" distR="0" wp14:anchorId="7F47DC4B" wp14:editId="02DB34C4">
          <wp:extent cx="5943600" cy="55499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6" w:rsidRDefault="00732D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6878" o:spid="_x0000_s2050" type="#_x0000_t75" alt="/Volumes/DATA/1) JOBS/Donross Media/AA Kenya/Merchandising/Word Files/Set-3/AA-Kenya-Letterhead-Watermark.jpg" style="position:absolute;margin-left:0;margin-top:0;width:595pt;height:842pt;z-index:-251656192;mso-wrap-edited:f;mso-position-horizontal:center;mso-position-horizontal-relative:margin;mso-position-vertical:center;mso-position-vertical-relative:margin" o:allowincell="f">
          <v:imagedata r:id="rId1" o:title="AA-Kenya-Letterhead-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6" w:rsidRDefault="00732D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6877" o:spid="_x0000_s2049" type="#_x0000_t75" alt="/Volumes/DATA/1) JOBS/Donross Media/AA Kenya/Merchandising/Word Files/Set-3/AA-Kenya-Letterhead-Watermark.jpg" style="position:absolute;margin-left:0;margin-top:0;width:595pt;height:842pt;z-index:-251657216;mso-wrap-edited:f;mso-position-horizontal:center;mso-position-horizontal-relative:margin;mso-position-vertical:center;mso-position-vertical-relative:margin" o:allowincell="f">
          <v:imagedata r:id="rId1" o:title="AA-Kenya-Letterhead-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4F5D"/>
    <w:multiLevelType w:val="hybridMultilevel"/>
    <w:tmpl w:val="D4E88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16EAE"/>
    <w:multiLevelType w:val="multilevel"/>
    <w:tmpl w:val="BD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D29EB"/>
    <w:multiLevelType w:val="hybridMultilevel"/>
    <w:tmpl w:val="B61E50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22B67"/>
    <w:multiLevelType w:val="multilevel"/>
    <w:tmpl w:val="7B7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B78F7"/>
    <w:multiLevelType w:val="hybridMultilevel"/>
    <w:tmpl w:val="C010D5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9E6C75"/>
    <w:multiLevelType w:val="multilevel"/>
    <w:tmpl w:val="1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D00BF"/>
    <w:multiLevelType w:val="hybridMultilevel"/>
    <w:tmpl w:val="88607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B2E"/>
    <w:multiLevelType w:val="hybridMultilevel"/>
    <w:tmpl w:val="C94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2614"/>
    <w:multiLevelType w:val="hybridMultilevel"/>
    <w:tmpl w:val="1B865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35BDD"/>
    <w:multiLevelType w:val="multilevel"/>
    <w:tmpl w:val="CE82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B2E55"/>
    <w:multiLevelType w:val="hybridMultilevel"/>
    <w:tmpl w:val="74A8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F0C5E"/>
    <w:multiLevelType w:val="hybridMultilevel"/>
    <w:tmpl w:val="293E81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104B1"/>
    <w:multiLevelType w:val="hybridMultilevel"/>
    <w:tmpl w:val="20FA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E64C5"/>
    <w:multiLevelType w:val="hybridMultilevel"/>
    <w:tmpl w:val="D9B820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E24878"/>
    <w:multiLevelType w:val="hybridMultilevel"/>
    <w:tmpl w:val="D9FC4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0610C6"/>
    <w:multiLevelType w:val="hybridMultilevel"/>
    <w:tmpl w:val="792E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EC5B64"/>
    <w:multiLevelType w:val="multilevel"/>
    <w:tmpl w:val="B5C0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47FDF"/>
    <w:multiLevelType w:val="multilevel"/>
    <w:tmpl w:val="CD6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5"/>
  </w:num>
  <w:num w:numId="4">
    <w:abstractNumId w:val="13"/>
  </w:num>
  <w:num w:numId="5">
    <w:abstractNumId w:val="14"/>
  </w:num>
  <w:num w:numId="6">
    <w:abstractNumId w:val="0"/>
  </w:num>
  <w:num w:numId="7">
    <w:abstractNumId w:val="6"/>
  </w:num>
  <w:num w:numId="8">
    <w:abstractNumId w:val="11"/>
  </w:num>
  <w:num w:numId="9">
    <w:abstractNumId w:val="16"/>
  </w:num>
  <w:num w:numId="10">
    <w:abstractNumId w:val="10"/>
  </w:num>
  <w:num w:numId="11">
    <w:abstractNumId w:val="5"/>
  </w:num>
  <w:num w:numId="12">
    <w:abstractNumId w:val="17"/>
  </w:num>
  <w:num w:numId="13">
    <w:abstractNumId w:val="3"/>
  </w:num>
  <w:num w:numId="14">
    <w:abstractNumId w:val="1"/>
  </w:num>
  <w:num w:numId="15">
    <w:abstractNumId w:val="9"/>
  </w:num>
  <w:num w:numId="16">
    <w:abstractNumId w:val="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DD"/>
    <w:rsid w:val="00732DFA"/>
    <w:rsid w:val="008318DD"/>
    <w:rsid w:val="00E1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B032417-451A-41FF-B714-B19FE2B7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D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8DD"/>
    <w:pPr>
      <w:tabs>
        <w:tab w:val="center" w:pos="4680"/>
        <w:tab w:val="right" w:pos="9360"/>
      </w:tabs>
    </w:pPr>
  </w:style>
  <w:style w:type="character" w:customStyle="1" w:styleId="HeaderChar">
    <w:name w:val="Header Char"/>
    <w:basedOn w:val="DefaultParagraphFont"/>
    <w:link w:val="Header"/>
    <w:uiPriority w:val="99"/>
    <w:rsid w:val="008318DD"/>
    <w:rPr>
      <w:rFonts w:ascii="Calibri" w:eastAsia="Calibri" w:hAnsi="Calibri" w:cs="Arial"/>
      <w:sz w:val="20"/>
      <w:szCs w:val="20"/>
    </w:rPr>
  </w:style>
  <w:style w:type="paragraph" w:styleId="ListParagraph">
    <w:name w:val="List Paragraph"/>
    <w:basedOn w:val="Normal"/>
    <w:uiPriority w:val="34"/>
    <w:qFormat/>
    <w:rsid w:val="008318DD"/>
    <w:pPr>
      <w:ind w:left="720"/>
    </w:pPr>
    <w:rPr>
      <w:rFonts w:cs="Calibri"/>
      <w:sz w:val="22"/>
      <w:szCs w:val="22"/>
    </w:rPr>
  </w:style>
  <w:style w:type="paragraph" w:styleId="NormalWeb">
    <w:name w:val="Normal (Web)"/>
    <w:basedOn w:val="Normal"/>
    <w:uiPriority w:val="99"/>
    <w:semiHidden/>
    <w:unhideWhenUsed/>
    <w:rsid w:val="008318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2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ak@aakenya.co.k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cp:revision>
  <dcterms:created xsi:type="dcterms:W3CDTF">2026-04-02T11:46:00Z</dcterms:created>
  <dcterms:modified xsi:type="dcterms:W3CDTF">2026-04-02T12:48:00Z</dcterms:modified>
</cp:coreProperties>
</file>